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Pr="00301229" w:rsidRDefault="004C6CEF" w:rsidP="004C6CEF">
      <w:pPr>
        <w:rPr>
          <w:rFonts w:ascii="ＭＳ ゴシック" w:eastAsia="ＭＳ ゴシック" w:hAnsi="ＭＳ ゴシック"/>
          <w:b/>
          <w:sz w:val="26"/>
          <w:szCs w:val="26"/>
        </w:rPr>
      </w:pPr>
      <w:bookmarkStart w:id="0" w:name="_GoBack"/>
      <w:bookmarkEnd w:id="0"/>
      <w:r w:rsidRPr="00301229">
        <w:rPr>
          <w:rFonts w:ascii="ＭＳ ゴシック" w:eastAsia="ＭＳ ゴシック" w:hAnsi="ＭＳ ゴシック" w:hint="eastAsia"/>
          <w:b/>
          <w:sz w:val="26"/>
          <w:szCs w:val="26"/>
        </w:rPr>
        <w:t>３．戦略の基本理念</w:t>
      </w:r>
    </w:p>
    <w:p w:rsidR="004C6CEF" w:rsidRPr="00301229" w:rsidRDefault="004C6CEF" w:rsidP="004C6CEF">
      <w:pPr>
        <w:rPr>
          <w:rFonts w:ascii="ＭＳ ゴシック" w:eastAsia="ＭＳ ゴシック" w:hAnsi="ＭＳ ゴシック"/>
          <w:b/>
          <w:sz w:val="26"/>
          <w:szCs w:val="26"/>
        </w:rPr>
      </w:pPr>
    </w:p>
    <w:p w:rsidR="004C6CEF" w:rsidRPr="00301229" w:rsidRDefault="004C6CEF" w:rsidP="004C6CEF">
      <w:pPr>
        <w:ind w:firstLineChars="100" w:firstLine="261"/>
        <w:rPr>
          <w:rFonts w:ascii="ＭＳ 明朝"/>
          <w:b/>
          <w:sz w:val="26"/>
          <w:szCs w:val="26"/>
        </w:rPr>
      </w:pPr>
      <w:r w:rsidRPr="00301229">
        <w:rPr>
          <w:rFonts w:ascii="ＭＳ ゴシック" w:eastAsia="ＭＳ ゴシック" w:hAnsi="ＭＳ ゴシック" w:hint="eastAsia"/>
          <w:b/>
          <w:sz w:val="26"/>
          <w:szCs w:val="26"/>
        </w:rPr>
        <w:t>（１）基本理念１：新たなベストミックス実現に向けた三原則</w:t>
      </w:r>
    </w:p>
    <w:p w:rsidR="004C6CEF" w:rsidRPr="00301229" w:rsidRDefault="004C6CEF" w:rsidP="004C6CEF">
      <w:pPr>
        <w:pStyle w:val="1"/>
        <w:ind w:leftChars="0" w:left="261"/>
        <w:rPr>
          <w:rFonts w:ascii="ＭＳ 明朝"/>
          <w:b/>
          <w:sz w:val="26"/>
          <w:szCs w:val="26"/>
        </w:rPr>
      </w:pPr>
    </w:p>
    <w:p w:rsidR="004C6CEF" w:rsidRPr="00301229" w:rsidRDefault="004C6CEF" w:rsidP="004C6CEF">
      <w:pPr>
        <w:ind w:leftChars="248" w:left="1304" w:hangingChars="300" w:hanging="783"/>
        <w:rPr>
          <w:rFonts w:ascii="ＭＳ ゴシック" w:eastAsia="ＭＳ ゴシック" w:hAnsi="ＭＳ ゴシック"/>
          <w:b/>
          <w:sz w:val="26"/>
          <w:szCs w:val="26"/>
        </w:rPr>
      </w:pPr>
      <w:r w:rsidRPr="00301229">
        <w:rPr>
          <w:rFonts w:ascii="ＭＳ ゴシック" w:eastAsia="ＭＳ ゴシック" w:hAnsi="ＭＳ ゴシック" w:hint="eastAsia"/>
          <w:b/>
          <w:sz w:val="26"/>
          <w:szCs w:val="26"/>
        </w:rPr>
        <w:t>原則１：原発への依存度低減のシナリオを描く。</w:t>
      </w:r>
    </w:p>
    <w:p w:rsidR="004C6CEF" w:rsidRPr="00301229" w:rsidRDefault="004C6CEF" w:rsidP="004C6CEF">
      <w:pPr>
        <w:ind w:leftChars="620" w:left="1302" w:firstLineChars="100" w:firstLine="260"/>
        <w:rPr>
          <w:rFonts w:ascii="ＭＳ 明朝"/>
          <w:sz w:val="26"/>
          <w:szCs w:val="26"/>
        </w:rPr>
      </w:pPr>
    </w:p>
    <w:p w:rsidR="004C6CEF" w:rsidRPr="00301229" w:rsidRDefault="004C6CEF" w:rsidP="004C6CEF">
      <w:pPr>
        <w:ind w:leftChars="620" w:left="1302" w:firstLineChars="100" w:firstLine="260"/>
        <w:rPr>
          <w:rFonts w:ascii="ＭＳ 明朝"/>
          <w:sz w:val="26"/>
          <w:szCs w:val="26"/>
        </w:rPr>
      </w:pPr>
      <w:r w:rsidRPr="00301229">
        <w:rPr>
          <w:rFonts w:ascii="ＭＳ 明朝" w:hAnsi="ＭＳ 明朝" w:hint="eastAsia"/>
          <w:sz w:val="26"/>
          <w:szCs w:val="26"/>
        </w:rPr>
        <w:t>原子力発電に電力供給の過半を依存するとしてきた現行のエネルギーミックスをゼロベースで見直す。</w:t>
      </w:r>
      <w:r>
        <w:rPr>
          <w:rStyle w:val="a5"/>
          <w:rFonts w:ascii="ＭＳ 明朝" w:hAnsi="ＭＳ 明朝"/>
          <w:sz w:val="26"/>
          <w:szCs w:val="26"/>
        </w:rPr>
        <w:footnoteReference w:id="1"/>
      </w:r>
    </w:p>
    <w:p w:rsidR="004C6CEF" w:rsidRPr="00301229" w:rsidRDefault="004C6CEF" w:rsidP="004C6CEF">
      <w:pPr>
        <w:ind w:leftChars="620" w:left="1302" w:firstLineChars="100" w:firstLine="260"/>
        <w:rPr>
          <w:rFonts w:ascii="ＭＳ 明朝" w:hAnsi="ＭＳ 明朝"/>
          <w:sz w:val="26"/>
          <w:szCs w:val="26"/>
        </w:rPr>
      </w:pPr>
      <w:r w:rsidRPr="00301229">
        <w:rPr>
          <w:rFonts w:ascii="ＭＳ 明朝" w:hAnsi="ＭＳ 明朝" w:hint="eastAsia"/>
          <w:sz w:val="26"/>
          <w:szCs w:val="26"/>
        </w:rPr>
        <w:t>すなわち、原子力発電については、より安全性を高めて活用しながら、依存度を下げていく。</w:t>
      </w:r>
    </w:p>
    <w:p w:rsidR="004C6CEF" w:rsidRPr="00301229" w:rsidRDefault="004C6CEF" w:rsidP="004C6CEF">
      <w:pPr>
        <w:ind w:leftChars="620" w:left="1302" w:firstLineChars="100" w:firstLine="260"/>
        <w:rPr>
          <w:rFonts w:ascii="ＭＳ 明朝" w:hAnsi="ＭＳ 明朝"/>
          <w:sz w:val="26"/>
          <w:szCs w:val="26"/>
        </w:rPr>
      </w:pPr>
      <w:r w:rsidRPr="00301229">
        <w:rPr>
          <w:rFonts w:ascii="ＭＳ 明朝" w:hAnsi="ＭＳ 明朝" w:hint="eastAsia"/>
          <w:sz w:val="26"/>
          <w:szCs w:val="26"/>
        </w:rPr>
        <w:t>同時に、再生可能エネ</w:t>
      </w:r>
      <w:r>
        <w:rPr>
          <w:rFonts w:ascii="ＭＳ 明朝" w:hAnsi="ＭＳ 明朝" w:hint="eastAsia"/>
          <w:sz w:val="26"/>
          <w:szCs w:val="26"/>
        </w:rPr>
        <w:t>ルギーの比率を高め、省エネによるエネルギー需要構造を抜本的に改革</w:t>
      </w:r>
      <w:r w:rsidRPr="00301229">
        <w:rPr>
          <w:rFonts w:ascii="ＭＳ 明朝" w:hAnsi="ＭＳ 明朝" w:hint="eastAsia"/>
          <w:sz w:val="26"/>
          <w:szCs w:val="26"/>
        </w:rPr>
        <w:t>し、化石燃料のクリーン化、効率化を進めるなど、エネルギーフロンティアを開拓する。</w:t>
      </w:r>
      <w:r>
        <w:rPr>
          <w:rStyle w:val="a5"/>
          <w:rFonts w:ascii="ＭＳ 明朝" w:hAnsi="ＭＳ 明朝"/>
          <w:sz w:val="26"/>
          <w:szCs w:val="26"/>
        </w:rPr>
        <w:footnoteReference w:id="2"/>
      </w:r>
    </w:p>
    <w:p w:rsidR="004C6CEF" w:rsidRPr="00301229" w:rsidRDefault="004C6CEF" w:rsidP="004C6CEF">
      <w:pPr>
        <w:ind w:leftChars="248" w:left="1304" w:hangingChars="300" w:hanging="783"/>
        <w:rPr>
          <w:rFonts w:ascii="ＭＳ ゴシック" w:eastAsia="ＭＳ ゴシック" w:hAnsi="ＭＳ ゴシック"/>
          <w:b/>
          <w:sz w:val="26"/>
          <w:szCs w:val="26"/>
        </w:rPr>
      </w:pPr>
    </w:p>
    <w:p w:rsidR="004C6CEF" w:rsidRPr="00301229" w:rsidRDefault="004C6CEF" w:rsidP="004C6CEF">
      <w:pPr>
        <w:ind w:leftChars="248" w:left="1565" w:hangingChars="400" w:hanging="1044"/>
        <w:rPr>
          <w:rFonts w:ascii="ＭＳ ゴシック" w:eastAsia="ＭＳ ゴシック" w:hAnsi="ＭＳ ゴシック"/>
          <w:b/>
          <w:sz w:val="26"/>
          <w:szCs w:val="26"/>
        </w:rPr>
      </w:pPr>
      <w:r w:rsidRPr="00301229">
        <w:rPr>
          <w:rFonts w:ascii="ＭＳ ゴシック" w:eastAsia="ＭＳ ゴシック" w:hAnsi="ＭＳ ゴシック" w:hint="eastAsia"/>
          <w:b/>
          <w:sz w:val="26"/>
          <w:szCs w:val="26"/>
        </w:rPr>
        <w:t>原則２：エネルギーの不足や価格高騰等を回避するため、明確かつ戦略的な工程を策定する。</w:t>
      </w:r>
    </w:p>
    <w:p w:rsidR="004C6CEF" w:rsidRPr="00301229" w:rsidRDefault="004C6CEF" w:rsidP="004C6CEF">
      <w:pPr>
        <w:ind w:leftChars="248" w:left="521" w:firstLineChars="400" w:firstLine="1040"/>
        <w:rPr>
          <w:rFonts w:ascii="ＭＳ 明朝"/>
          <w:sz w:val="26"/>
          <w:szCs w:val="26"/>
        </w:rPr>
      </w:pPr>
    </w:p>
    <w:p w:rsidR="004C6CEF" w:rsidRPr="00301229" w:rsidRDefault="004C6CEF" w:rsidP="004C6CEF">
      <w:pPr>
        <w:ind w:leftChars="620" w:left="1302" w:firstLineChars="100" w:firstLine="260"/>
        <w:rPr>
          <w:rFonts w:ascii="ＭＳ 明朝"/>
          <w:sz w:val="26"/>
          <w:szCs w:val="26"/>
        </w:rPr>
      </w:pPr>
      <w:r w:rsidRPr="00301229">
        <w:rPr>
          <w:rFonts w:ascii="ＭＳ 明朝" w:hAnsi="ＭＳ 明朝" w:hint="eastAsia"/>
          <w:sz w:val="26"/>
          <w:szCs w:val="26"/>
        </w:rPr>
        <w:t>政策の予見可能性を高め、経済活動・国民生活への影響を最小限にするため、安全で安定的、効率的かつ環境にも優しいエネルギー構造を再構築する工程を検討し、明確にする。</w:t>
      </w:r>
    </w:p>
    <w:p w:rsidR="004C6CEF" w:rsidRPr="00301229" w:rsidRDefault="004C6CEF" w:rsidP="004C6CEF">
      <w:pPr>
        <w:ind w:leftChars="620" w:left="1302" w:firstLineChars="100" w:firstLine="260"/>
        <w:rPr>
          <w:rFonts w:ascii="ＭＳ 明朝"/>
          <w:sz w:val="26"/>
          <w:szCs w:val="26"/>
        </w:rPr>
      </w:pPr>
      <w:r w:rsidRPr="00301229">
        <w:rPr>
          <w:rFonts w:ascii="ＭＳ 明朝" w:hAnsi="ＭＳ 明朝" w:hint="eastAsia"/>
          <w:sz w:val="26"/>
          <w:szCs w:val="26"/>
        </w:rPr>
        <w:t>エネルギー不足やエネルギー価格の高騰により、経済活動と国民生活に支</w:t>
      </w:r>
    </w:p>
    <w:p w:rsidR="004C6CEF" w:rsidRPr="00301229" w:rsidRDefault="004C6CEF" w:rsidP="004C6CEF">
      <w:pPr>
        <w:ind w:leftChars="620" w:left="1302"/>
        <w:rPr>
          <w:rFonts w:ascii="ＭＳ 明朝"/>
          <w:sz w:val="26"/>
          <w:szCs w:val="26"/>
        </w:rPr>
      </w:pPr>
      <w:r w:rsidRPr="00301229">
        <w:rPr>
          <w:rFonts w:ascii="ＭＳ 明朝" w:hAnsi="ＭＳ 明朝" w:hint="eastAsia"/>
          <w:sz w:val="26"/>
          <w:szCs w:val="26"/>
        </w:rPr>
        <w:t>障が生じないよう常に最善の対応を図る。その際、国際的なエネルギー戦略の動き、エネルギー資源を巡る動向、主要国のエネルギー政策の展開などにも注視しながら、工程を策定する。</w:t>
      </w:r>
    </w:p>
    <w:p w:rsidR="004C6CEF" w:rsidRPr="00301229" w:rsidRDefault="004C6CEF" w:rsidP="004C6CEF">
      <w:pPr>
        <w:ind w:leftChars="248" w:left="521" w:firstLineChars="300" w:firstLine="780"/>
        <w:rPr>
          <w:rFonts w:ascii="ＭＳ 明朝"/>
          <w:sz w:val="26"/>
          <w:szCs w:val="26"/>
        </w:rPr>
      </w:pPr>
    </w:p>
    <w:p w:rsidR="004C6CEF" w:rsidRPr="00301229" w:rsidRDefault="004C6CEF" w:rsidP="004C6CEF">
      <w:pPr>
        <w:ind w:leftChars="248" w:left="1304" w:hangingChars="300" w:hanging="783"/>
        <w:rPr>
          <w:rFonts w:ascii="ＭＳ ゴシック" w:eastAsia="ＭＳ ゴシック" w:hAnsi="ＭＳ ゴシック"/>
          <w:b/>
          <w:sz w:val="26"/>
          <w:szCs w:val="26"/>
        </w:rPr>
      </w:pPr>
      <w:r w:rsidRPr="00301229">
        <w:rPr>
          <w:rFonts w:ascii="ＭＳ ゴシック" w:eastAsia="ＭＳ ゴシック" w:hAnsi="ＭＳ ゴシック" w:hint="eastAsia"/>
          <w:b/>
          <w:sz w:val="26"/>
          <w:szCs w:val="26"/>
        </w:rPr>
        <w:t>原則３：原子力政策の徹底検証を行い、新たな姿を追求する。</w:t>
      </w:r>
    </w:p>
    <w:p w:rsidR="004C6CEF" w:rsidRPr="00301229" w:rsidRDefault="004C6CEF" w:rsidP="004C6CEF">
      <w:pPr>
        <w:ind w:leftChars="620" w:left="1302" w:firstLineChars="100" w:firstLine="260"/>
        <w:rPr>
          <w:rFonts w:ascii="ＭＳ 明朝"/>
          <w:sz w:val="26"/>
          <w:szCs w:val="26"/>
        </w:rPr>
      </w:pPr>
    </w:p>
    <w:p w:rsidR="004C6CEF" w:rsidRPr="00301229" w:rsidRDefault="004C6CEF" w:rsidP="004C6CEF">
      <w:pPr>
        <w:ind w:leftChars="620" w:left="1302" w:firstLineChars="100" w:firstLine="260"/>
        <w:rPr>
          <w:rFonts w:ascii="ＭＳ 明朝"/>
          <w:sz w:val="26"/>
          <w:szCs w:val="26"/>
        </w:rPr>
      </w:pPr>
      <w:r w:rsidRPr="00301229">
        <w:rPr>
          <w:rFonts w:ascii="ＭＳ 明朝" w:hAnsi="ＭＳ 明朝" w:hint="eastAsia"/>
          <w:sz w:val="26"/>
          <w:szCs w:val="26"/>
        </w:rPr>
        <w:t>原発への依存度低減のシナリオを具体化するに当たり、原子力政策の総合的な検証を行う。</w:t>
      </w:r>
    </w:p>
    <w:p w:rsidR="004C6CEF" w:rsidRPr="00301229" w:rsidRDefault="004C6CEF" w:rsidP="004C6CEF">
      <w:pPr>
        <w:ind w:leftChars="620" w:left="1302" w:firstLineChars="100" w:firstLine="260"/>
        <w:rPr>
          <w:rFonts w:ascii="ＭＳ ゴシック" w:eastAsia="ＭＳ ゴシック" w:hAnsi="ＭＳ ゴシック"/>
          <w:b/>
          <w:sz w:val="26"/>
          <w:szCs w:val="26"/>
        </w:rPr>
      </w:pPr>
      <w:r w:rsidRPr="00301229">
        <w:rPr>
          <w:rFonts w:ascii="ＭＳ 明朝" w:hAnsi="ＭＳ 明朝" w:hint="eastAsia"/>
          <w:sz w:val="26"/>
          <w:szCs w:val="26"/>
        </w:rPr>
        <w:t>どの程度の時間をかけてどこまで依存度を下げていくのか、新世代の原子力技術開発をどう扱うのか、バックエンド問題や核燃料サイクル政策をどうするのか、世界最高水準の安全性の実現や現存する原子力発電の安全確保を担う技術や人材の確保・育成をどう図るのか、国際機関や諸外国との協調・協力強化</w:t>
      </w:r>
      <w:r w:rsidRPr="00411A21">
        <w:rPr>
          <w:rFonts w:ascii="ＭＳ 明朝" w:hAnsi="ＭＳ 明朝" w:hint="eastAsia"/>
          <w:w w:val="90"/>
          <w:sz w:val="26"/>
          <w:szCs w:val="26"/>
        </w:rPr>
        <w:t>をどのように</w:t>
      </w:r>
      <w:r w:rsidRPr="00301229">
        <w:rPr>
          <w:rFonts w:ascii="ＭＳ 明朝" w:hAnsi="ＭＳ 明朝" w:hint="eastAsia"/>
          <w:sz w:val="26"/>
          <w:szCs w:val="26"/>
        </w:rPr>
        <w:t>強化</w:t>
      </w:r>
      <w:r w:rsidRPr="00411A21">
        <w:rPr>
          <w:rFonts w:ascii="ＭＳ 明朝" w:hAnsi="ＭＳ 明朝" w:hint="eastAsia"/>
          <w:w w:val="90"/>
          <w:sz w:val="26"/>
          <w:szCs w:val="26"/>
        </w:rPr>
        <w:t>していくのかといった</w:t>
      </w:r>
      <w:r w:rsidRPr="00301229">
        <w:rPr>
          <w:rFonts w:ascii="ＭＳ 明朝" w:hAnsi="ＭＳ 明朝" w:hint="eastAsia"/>
          <w:sz w:val="26"/>
          <w:szCs w:val="26"/>
        </w:rPr>
        <w:t>点も含めて、明らかにする。</w:t>
      </w:r>
      <w:r>
        <w:rPr>
          <w:rStyle w:val="a5"/>
          <w:rFonts w:ascii="ＭＳ 明朝" w:hAnsi="ＭＳ 明朝"/>
          <w:sz w:val="26"/>
          <w:szCs w:val="26"/>
        </w:rPr>
        <w:footnoteReference w:id="3"/>
      </w:r>
    </w:p>
    <w:p w:rsidR="004C6CEF" w:rsidRPr="00301229" w:rsidRDefault="004C6CEF" w:rsidP="004C6CEF">
      <w:pPr>
        <w:ind w:firstLineChars="100" w:firstLine="261"/>
        <w:rPr>
          <w:rFonts w:ascii="ＭＳ ゴシック" w:eastAsia="ＭＳ ゴシック" w:hAnsi="ＭＳ ゴシック"/>
          <w:b/>
          <w:sz w:val="26"/>
          <w:szCs w:val="26"/>
        </w:rPr>
      </w:pPr>
    </w:p>
    <w:p w:rsidR="004B04CA" w:rsidRPr="004C6CEF" w:rsidRDefault="00C618E3" w:rsidP="004C6CEF"/>
    <w:sectPr w:rsidR="004B04CA" w:rsidRPr="004C6CEF" w:rsidSect="00760A5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E3" w:rsidRDefault="00C618E3" w:rsidP="007B2F89">
      <w:r>
        <w:separator/>
      </w:r>
    </w:p>
  </w:endnote>
  <w:endnote w:type="continuationSeparator" w:id="0">
    <w:p w:rsidR="00C618E3" w:rsidRDefault="00C618E3" w:rsidP="007B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E3" w:rsidRDefault="00C618E3" w:rsidP="007B2F89">
      <w:r>
        <w:separator/>
      </w:r>
    </w:p>
  </w:footnote>
  <w:footnote w:type="continuationSeparator" w:id="0">
    <w:p w:rsidR="00C618E3" w:rsidRDefault="00C618E3" w:rsidP="007B2F89">
      <w:r>
        <w:continuationSeparator/>
      </w:r>
    </w:p>
  </w:footnote>
  <w:footnote w:id="1">
    <w:p w:rsidR="004C6CEF" w:rsidRPr="00EA2A88" w:rsidRDefault="004C6CEF" w:rsidP="004C6CEF">
      <w:pPr>
        <w:pStyle w:val="a3"/>
        <w:rPr>
          <w:rFonts w:ascii="ＭＳ 明朝" w:hAnsi="ＭＳ 明朝"/>
          <w:sz w:val="26"/>
          <w:szCs w:val="26"/>
        </w:rPr>
      </w:pPr>
      <w:r>
        <w:rPr>
          <w:rStyle w:val="a5"/>
        </w:rPr>
        <w:footnoteRef/>
      </w:r>
      <w:r w:rsidRPr="00411A21">
        <w:rPr>
          <w:rFonts w:ascii="ＭＳ 明朝" w:hAnsi="ＭＳ 明朝" w:hint="eastAsia"/>
          <w:szCs w:val="26"/>
        </w:rPr>
        <w:t xml:space="preserve"> 参考資料③－１：現行のエネルギー基本計画、③－２：発電電力量と電源構成の推移を参照。</w:t>
      </w:r>
      <w:r>
        <w:rPr>
          <w:rFonts w:ascii="ＭＳ 明朝" w:hAnsi="ＭＳ 明朝" w:hint="eastAsia"/>
          <w:szCs w:val="26"/>
        </w:rPr>
        <w:t>（p.28,29）</w:t>
      </w:r>
    </w:p>
  </w:footnote>
  <w:footnote w:id="2">
    <w:p w:rsidR="004C6CEF" w:rsidRPr="00EA2A88" w:rsidRDefault="004C6CEF" w:rsidP="004C6CEF">
      <w:pPr>
        <w:pStyle w:val="a3"/>
        <w:rPr>
          <w:rFonts w:ascii="ＭＳ 明朝" w:hAnsi="ＭＳ 明朝"/>
          <w:sz w:val="26"/>
          <w:szCs w:val="26"/>
        </w:rPr>
      </w:pPr>
      <w:r>
        <w:rPr>
          <w:rStyle w:val="a5"/>
        </w:rPr>
        <w:footnoteRef/>
      </w:r>
      <w:r w:rsidRPr="00411A21">
        <w:rPr>
          <w:rFonts w:ascii="ＭＳ 明朝" w:hAnsi="ＭＳ 明朝" w:hint="eastAsia"/>
          <w:szCs w:val="26"/>
        </w:rPr>
        <w:t xml:space="preserve"> 参考資料④：再生可能電力の導入実績と目標を参照。</w:t>
      </w:r>
      <w:r>
        <w:rPr>
          <w:rFonts w:ascii="ＭＳ 明朝" w:hAnsi="ＭＳ 明朝" w:hint="eastAsia"/>
          <w:szCs w:val="26"/>
        </w:rPr>
        <w:t>（p.30）</w:t>
      </w:r>
    </w:p>
  </w:footnote>
  <w:footnote w:id="3">
    <w:p w:rsidR="004C6CEF" w:rsidRPr="00EA2A88" w:rsidRDefault="004C6CEF" w:rsidP="004C6CEF">
      <w:pPr>
        <w:pStyle w:val="a3"/>
      </w:pPr>
      <w:r>
        <w:rPr>
          <w:rStyle w:val="a5"/>
        </w:rPr>
        <w:footnoteRef/>
      </w:r>
      <w:r w:rsidRPr="00411A21">
        <w:rPr>
          <w:rFonts w:ascii="ＭＳ 明朝" w:hAnsi="ＭＳ 明朝" w:hint="eastAsia"/>
          <w:szCs w:val="26"/>
        </w:rPr>
        <w:t xml:space="preserve"> 参考資料⑤：各国の原子力政策を参照。</w:t>
      </w:r>
      <w:r>
        <w:rPr>
          <w:rFonts w:ascii="ＭＳ 明朝" w:hAnsi="ＭＳ 明朝" w:hint="eastAsia"/>
          <w:szCs w:val="26"/>
        </w:rPr>
        <w:t>（p.31）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6B"/>
    <w:rsid w:val="00475FF0"/>
    <w:rsid w:val="004C6CEF"/>
    <w:rsid w:val="005A4D02"/>
    <w:rsid w:val="00760A5A"/>
    <w:rsid w:val="007B2F89"/>
    <w:rsid w:val="00A5712A"/>
    <w:rsid w:val="00A70683"/>
    <w:rsid w:val="00C618E3"/>
    <w:rsid w:val="00D3476B"/>
    <w:rsid w:val="00F44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B"/>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B2F89"/>
    <w:pPr>
      <w:snapToGrid w:val="0"/>
      <w:jc w:val="left"/>
    </w:pPr>
  </w:style>
  <w:style w:type="character" w:customStyle="1" w:styleId="a4">
    <w:name w:val="脚注文字列 (文字)"/>
    <w:basedOn w:val="a0"/>
    <w:link w:val="a3"/>
    <w:rsid w:val="007B2F89"/>
    <w:rPr>
      <w:rFonts w:ascii="Century" w:eastAsia="ＭＳ 明朝" w:hAnsi="Century" w:cs="Times New Roman"/>
      <w:kern w:val="2"/>
      <w:sz w:val="21"/>
      <w:lang w:val="en-US"/>
    </w:rPr>
  </w:style>
  <w:style w:type="character" w:styleId="a5">
    <w:name w:val="footnote reference"/>
    <w:rsid w:val="007B2F89"/>
    <w:rPr>
      <w:vertAlign w:val="superscript"/>
    </w:rPr>
  </w:style>
  <w:style w:type="paragraph" w:customStyle="1" w:styleId="1">
    <w:name w:val="リスト段落1"/>
    <w:basedOn w:val="a"/>
    <w:rsid w:val="004C6C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B"/>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B2F89"/>
    <w:pPr>
      <w:snapToGrid w:val="0"/>
      <w:jc w:val="left"/>
    </w:pPr>
  </w:style>
  <w:style w:type="character" w:customStyle="1" w:styleId="a4">
    <w:name w:val="脚注文字列 (文字)"/>
    <w:basedOn w:val="a0"/>
    <w:link w:val="a3"/>
    <w:rsid w:val="007B2F89"/>
    <w:rPr>
      <w:rFonts w:ascii="Century" w:eastAsia="ＭＳ 明朝" w:hAnsi="Century" w:cs="Times New Roman"/>
      <w:kern w:val="2"/>
      <w:sz w:val="21"/>
      <w:lang w:val="en-US"/>
    </w:rPr>
  </w:style>
  <w:style w:type="character" w:styleId="a5">
    <w:name w:val="footnote reference"/>
    <w:rsid w:val="007B2F89"/>
    <w:rPr>
      <w:vertAlign w:val="superscript"/>
    </w:rPr>
  </w:style>
  <w:style w:type="paragraph" w:customStyle="1" w:styleId="1">
    <w:name w:val="リスト段落1"/>
    <w:basedOn w:val="a"/>
    <w:rsid w:val="004C6C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dcterms:created xsi:type="dcterms:W3CDTF">2012-07-03T07:56:00Z</dcterms:created>
  <dcterms:modified xsi:type="dcterms:W3CDTF">2012-07-09T08:54:00Z</dcterms:modified>
</cp:coreProperties>
</file>